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F5" w:rsidRPr="007D4EF5" w:rsidRDefault="007D4EF5" w:rsidP="007D4EF5">
      <w:pPr>
        <w:spacing w:after="215" w:line="50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</w:pPr>
      <w:r w:rsidRPr="007D4EF5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  <w:t>О ПРОДОЛЖЕНИИ ОБУЧЕНИЯ ЛИЦ,</w:t>
      </w:r>
      <w:r w:rsidRPr="007D4EF5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  <w:br/>
        <w:t>НЕ ПРОШЕДШИХ ГОСУДАРСТВЕННОЙ ИТОГОВОЙ АТТЕСТАЦИИ</w:t>
      </w:r>
      <w:r w:rsidRPr="007D4EF5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  <w:br/>
        <w:t>ПО ОБРАЗОВАТЕЛЬНЫМ ПРОГРАММАМ ОСНОВНОГО ОБЩЕГО ОБРАЗОВАНИЯ</w:t>
      </w:r>
    </w:p>
    <w:p w:rsidR="007D4EF5" w:rsidRPr="007D4EF5" w:rsidRDefault="007D4EF5" w:rsidP="007D4EF5">
      <w:pPr>
        <w:spacing w:after="215" w:line="419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32"/>
          <w:szCs w:val="32"/>
        </w:rPr>
      </w:pPr>
      <w:r w:rsidRPr="007D4EF5">
        <w:rPr>
          <w:rFonts w:ascii="Trebuchet MS" w:eastAsia="Times New Roman" w:hAnsi="Trebuchet MS" w:cs="Times New Roman"/>
          <w:b/>
          <w:bCs/>
          <w:color w:val="0059AA"/>
          <w:sz w:val="32"/>
          <w:szCs w:val="32"/>
        </w:rPr>
        <w:t>Письмо Министерства образования и науки Российской Федерации</w:t>
      </w:r>
      <w:r w:rsidRPr="007D4EF5">
        <w:rPr>
          <w:rFonts w:ascii="Trebuchet MS" w:eastAsia="Times New Roman" w:hAnsi="Trebuchet MS" w:cs="Times New Roman"/>
          <w:b/>
          <w:bCs/>
          <w:color w:val="0059AA"/>
          <w:sz w:val="32"/>
          <w:szCs w:val="32"/>
        </w:rPr>
        <w:br/>
        <w:t>от 24 апреля 2014 г. № НТ-443/08 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</w:rPr>
        <w:t>Минобрнауки России в связи с возникающими вопросами по поводу продолжения обучения лиц, не прошедших государственной итоговой аттестации (далее - ГИА) по образовательным программам основного общего образования, сообщает следующее.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4" w:anchor="st66_5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части 5 статьи 66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Федерального закона от 29 декабря 2012 г. № 273-ФЗ «Об образовании в Российской Федерации»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ранее).</w:t>
      </w:r>
      <w:proofErr w:type="gramEnd"/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При этом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(</w:t>
      </w:r>
      <w:hyperlink r:id="rId5" w:anchor="st63_2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часть 2 статьи 63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Федерального закона).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При получении основного общего образования в форме семейного образования родители (законные представители) обучающихся информируют о выборе семейной формы получения образования орган местного самоуправления муниципального района или городского округа, на территориях которых они проживают, в соответствии с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6" w:anchor="st63_5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частью 5 статьи 63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Федерального закона.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7" w:anchor="st44_4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частям 4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8" w:anchor="st44_6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6 статьи 44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Федерального закона </w:t>
      </w:r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родители 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(законные представители) несовершеннолетних обучающихся </w:t>
      </w:r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обязаны обеспечить получение детьми общего образования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В соответствии с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9" w:anchor="p9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пунктами 9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10" w:anchor="p61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61 Порядка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проведения государственной итоговой аттестации по образовательным программам основного общего образования, утвержденного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11" w:anchor="p/akty_minobrnauki_rossii/prikaz-minobrnauki-rf-ot-25122013-no-1394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приказом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Минобрнауки России от 25 декабря 2013 г. № 1394 (зарегистрирован Минюстом России 3 февраля 2014 г., регистрационный № 31206) (далее - Порядок), к ГИА допускаются обучающиеся, </w:t>
      </w:r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>не имеющие академической задолженности и в полном объеме выполнившие учебный план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или индивидуальный учебный план (имеющие годовые</w:t>
      </w:r>
      <w:proofErr w:type="gramEnd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отметки по всем учебным предметам учебного плана или индивидуального учебного плана за IX класс не ниже </w:t>
      </w: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удовлетворительных</w:t>
      </w:r>
      <w:proofErr w:type="gramEnd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7D4EF5" w:rsidRPr="007D4EF5" w:rsidRDefault="007D4EF5" w:rsidP="007D4EF5">
      <w:pPr>
        <w:spacing w:before="107" w:after="107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 (далее - обучающиеся, не прошедшие ГИА), предоставляется право пройти ГИА по соответствующим учебным предметам </w:t>
      </w:r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>не ранее чем через год в сроки и в формах, устанавливаемых Порядком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ГИА включает в себя обязательные экзамены по русскому языку и математике (</w:t>
      </w:r>
      <w:hyperlink r:id="rId12" w:anchor="p4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пункт 4 Порядка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13" w:anchor="p60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пункту 60 Порядка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 образовательной организации,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образования, загранучреждением.</w:t>
      </w:r>
      <w:proofErr w:type="gramEnd"/>
    </w:p>
    <w:p w:rsidR="007D4EF5" w:rsidRPr="007D4EF5" w:rsidRDefault="007D4EF5" w:rsidP="007D4EF5">
      <w:pPr>
        <w:spacing w:before="107" w:after="107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связи с </w:t>
      </w: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изложенным</w:t>
      </w:r>
      <w:proofErr w:type="gramEnd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7D4EF5" w:rsidRPr="007D4EF5" w:rsidRDefault="007D4EF5" w:rsidP="007D4EF5">
      <w:pPr>
        <w:spacing w:before="107" w:after="107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1. Обучающиеся, не прошедшие ГИА, обязаны освоить образовательные программы основного общего </w:t>
      </w: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образования</w:t>
      </w:r>
      <w:proofErr w:type="gramEnd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>могут продолжить обучение в организациях, осуществляющих образовательную деятельность, либо вне таких организаций, в форме семейного образования.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Обучающиеся, не прошедшие ГИА и желающие продолжить обучение по образовательным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</w:t>
      </w:r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>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hyperlink r:id="rId14" w:anchor="p9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пункты 9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proofErr w:type="gramEnd"/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15" w:anchor="p61" w:history="1">
        <w:proofErr w:type="gramStart"/>
        <w:r w:rsidRPr="007D4EF5">
          <w:rPr>
            <w:rFonts w:ascii="inherit" w:eastAsia="Times New Roman" w:hAnsi="inherit" w:cs="Times New Roman"/>
            <w:color w:val="0079CC"/>
            <w:sz w:val="32"/>
          </w:rPr>
          <w:t>61 Порядка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  <w:proofErr w:type="gramEnd"/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Обучающиеся, не прошедшие ГИА и желающие продолжить </w:t>
      </w:r>
      <w:proofErr w:type="gramStart"/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>обучение по</w:t>
      </w:r>
      <w:proofErr w:type="gramEnd"/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образовательным программам основного общего образования в форме семейного образования (вне организации, осуществляющей образовательную деятельность), отчисляются из организации, осуществляющей образовательную деятельность, с выдачей справки об обучении и вправе пройти экстерном ГИА не ранее чем через год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hyperlink r:id="rId16" w:anchor="p10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пункт 10 Порядка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). При этом в качестве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 (</w:t>
      </w:r>
      <w:hyperlink r:id="rId17" w:anchor="st34_1_7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пункт 7 части 1 статьи 34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Федерального закона).</w:t>
      </w:r>
    </w:p>
    <w:p w:rsidR="007D4EF5" w:rsidRPr="007D4EF5" w:rsidRDefault="007D4EF5" w:rsidP="007D4EF5">
      <w:pPr>
        <w:spacing w:before="107" w:after="107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Взимание платы за прохождение промежуточной аттестации и ГИА по образовательным программам основного общего образования, в том числе с экстернов, не допускается.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2. Обучающиеся, не прошедшие ГИА, вправе пройти профессиональное обучение в соответствии со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18" w:anchor="st73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статьей 73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Федерального закона и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19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Порядком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организации и осуществления образовательной деятельности по основным программам профессионального обучения, утвержденным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20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приказом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Минобрнауки России от 18 апреля 2013 г. № 292 (зарегистрирован Минюстом России 15 мая 2013 г., регистрационный № 28395). Лица в возрасте до восемнадцати лет могут осваивать основные программы профессионального </w:t>
      </w: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обучения по программам</w:t>
      </w:r>
      <w:proofErr w:type="gramEnd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профессиональной подготовки по 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сдаче квалификационного экзамена получить соответствующее свидетельство. При этом 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p w:rsidR="007D4EF5" w:rsidRPr="007D4EF5" w:rsidRDefault="007D4EF5" w:rsidP="007D4EF5">
      <w:pPr>
        <w:spacing w:before="107" w:after="107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Учитывая вышеизложенное, а также то,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</w:t>
      </w: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введена</w:t>
      </w:r>
      <w:proofErr w:type="gramEnd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штатный режим в 2014 году, Минобрнауки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7D4EF5" w:rsidRPr="007D4EF5" w:rsidRDefault="007D4EF5" w:rsidP="007D4EF5">
      <w:pPr>
        <w:spacing w:before="107" w:after="107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взвешенно и ответственно подойти к вопросу об установлении порога ГИА, который необходимо преодолеть </w:t>
      </w:r>
      <w:proofErr w:type="gramStart"/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>обучающимся</w:t>
      </w:r>
      <w:proofErr w:type="gramEnd"/>
      <w:r w:rsidRPr="007D4EF5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для получения аттестата об основном общем образовании;</w:t>
      </w:r>
    </w:p>
    <w:p w:rsidR="007D4EF5" w:rsidRPr="007D4EF5" w:rsidRDefault="007D4EF5" w:rsidP="007D4EF5">
      <w:pPr>
        <w:spacing w:before="107" w:after="107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обратить особое внимание на создание необходимых условий для подготовки к ГИА выпускников, требующих повышенного внимания педагогов и психологов, в том числе обучающихся с ограниченными возможностями здоровья, с </w:t>
      </w:r>
      <w:proofErr w:type="spell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девиантным</w:t>
      </w:r>
      <w:proofErr w:type="spellEnd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поведением, других обучающихся, испытывающих трудности в обучении;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обеспечить возможность прохождения ГИА в форме государственного выпускного экзамена для обучающихся, указанных в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21" w:anchor="p7_2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подпункте «б» пункта 7 Порядка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D4EF5" w:rsidRPr="007D4EF5" w:rsidRDefault="007D4EF5" w:rsidP="007D4EF5">
      <w:pPr>
        <w:spacing w:after="0" w:line="240" w:lineRule="auto"/>
        <w:ind w:firstLine="4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образования. Также к их 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компетенции отнесена организация предоставления психолого-педагогической, медицинской и социальной помощи </w:t>
      </w:r>
      <w:proofErr w:type="gramStart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обучающимся</w:t>
      </w:r>
      <w:proofErr w:type="gramEnd"/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, испытывающим трудности в освоении основных общеобразовательных программ, своем развитии и социальной адаптации (</w:t>
      </w:r>
      <w:hyperlink r:id="rId22" w:anchor="st8_1_3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пункты 3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hyperlink r:id="rId23" w:anchor="st8_1_12" w:history="1">
        <w:r w:rsidRPr="007D4EF5">
          <w:rPr>
            <w:rFonts w:ascii="inherit" w:eastAsia="Times New Roman" w:hAnsi="inherit" w:cs="Times New Roman"/>
            <w:color w:val="0079CC"/>
            <w:sz w:val="32"/>
          </w:rPr>
          <w:t>12 части 1 статьи 8</w:t>
        </w:r>
      </w:hyperlink>
      <w:r w:rsidRPr="007D4EF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7D4EF5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Федерального закона).</w:t>
      </w:r>
    </w:p>
    <w:p w:rsidR="007D4EF5" w:rsidRPr="007D4EF5" w:rsidRDefault="007D4EF5" w:rsidP="007D4EF5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4EF5">
        <w:rPr>
          <w:rFonts w:ascii="inherit" w:eastAsia="Times New Roman" w:hAnsi="inherit" w:cs="Times New Roman"/>
          <w:color w:val="000000"/>
          <w:sz w:val="33"/>
          <w:szCs w:val="33"/>
          <w:bdr w:val="none" w:sz="0" w:space="0" w:color="auto" w:frame="1"/>
        </w:rPr>
        <w:t>Н.В. Третьяк</w:t>
      </w:r>
    </w:p>
    <w:p w:rsidR="00A97478" w:rsidRDefault="007D4EF5" w:rsidP="007D4EF5">
      <w:hyperlink r:id="rId24" w:tgtFrame="_blank" w:tooltip="Google Plus" w:history="1">
        <w:r w:rsidRPr="007D4EF5">
          <w:rPr>
            <w:rFonts w:ascii="Arial" w:eastAsia="Times New Roman" w:hAnsi="Arial" w:cs="Arial"/>
            <w:color w:val="0079CC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br/>
        </w:r>
      </w:hyperlink>
    </w:p>
    <w:sectPr w:rsidR="00A9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D4EF5"/>
    <w:rsid w:val="007D4EF5"/>
    <w:rsid w:val="00A9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4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E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4E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cttext">
    <w:name w:val="norm_act_text"/>
    <w:basedOn w:val="a"/>
    <w:rsid w:val="007D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EF5"/>
  </w:style>
  <w:style w:type="character" w:styleId="a3">
    <w:name w:val="Hyperlink"/>
    <w:basedOn w:val="a0"/>
    <w:uiPriority w:val="99"/>
    <w:semiHidden/>
    <w:unhideWhenUsed/>
    <w:rsid w:val="007D4EF5"/>
    <w:rPr>
      <w:color w:val="0000FF"/>
      <w:u w:val="single"/>
    </w:rPr>
  </w:style>
  <w:style w:type="paragraph" w:customStyle="1" w:styleId="normactprilozhenie">
    <w:name w:val="norm_act_prilozhenie"/>
    <w:basedOn w:val="a"/>
    <w:rsid w:val="007D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7D4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436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akty_minobrnauki_rossii/prikaz-minobrnauki-rf-ot-25122013-no-1394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xn--273--84d1f.xn--p1ai/akty_minobrnauki_rossii/prikaz-minobrnauki-rf-ot-25122013-no-1394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akty_minobrnauki_rossii/prikaz-minobrnauki-rf-ot-25122013-no-1394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akty_minobrnauki_rossii/prikaz-minobrnauki-rf-ot-25122013-no-1394" TargetMode="External"/><Relationship Id="rId20" Type="http://schemas.openxmlformats.org/officeDocument/2006/relationships/hyperlink" Target="http://xn--273--84d1f.xn--p1ai/akty_minobrnauki_rossii/prikaz-minobrnauki-rf-ot-18042013-no-292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akty_minobrnauki_rossii/prikaz-minobrnauki-rf-ot-25122013-no-1394" TargetMode="External"/><Relationship Id="rId24" Type="http://schemas.openxmlformats.org/officeDocument/2006/relationships/hyperlink" Target="http://share.yandex.ru/go.xml?service=gplus&amp;url=http%3A%2F%2Fxn--273--84d1f.xn--p1ai%2Fakty_minobrnauki_rossii%2Fpismo-minobrnauki-rf-ot-ot-24042014-no-nt-44308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4%20%D0%B0%D0%BF%D1%80%D0%B5%D0%BB%D1%8F%202014%20%D0%B3.%20%E2%84%96%20%D0%9D%D0%A2-443%2F08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akty_minobrnauki_rossii/prikaz-minobrnauki-rf-ot-25122013-no-1394" TargetMode="External"/><Relationship Id="rId23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akty_minobrnauki_rossii/prikaz-minobrnauki-rf-ot-25122013-no-1394" TargetMode="External"/><Relationship Id="rId19" Type="http://schemas.openxmlformats.org/officeDocument/2006/relationships/hyperlink" Target="http://xn--273--84d1f.xn--p1ai/akty_minobrnauki_rossii/prikaz-minobrnauki-rf-ot-18042013-no-292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akty_minobrnauki_rossii/prikaz-minobrnauki-rf-ot-25122013-no-1394" TargetMode="External"/><Relationship Id="rId14" Type="http://schemas.openxmlformats.org/officeDocument/2006/relationships/hyperlink" Target="http://xn--273--84d1f.xn--p1ai/akty_minobrnauki_rossii/prikaz-minobrnauki-rf-ot-25122013-no-1394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1755</Words>
  <Characters>10005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2014-05-14T06:14:00Z</dcterms:created>
  <dcterms:modified xsi:type="dcterms:W3CDTF">2014-05-14T06:19:00Z</dcterms:modified>
</cp:coreProperties>
</file>